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Content>
        <w:p w14:paraId="72B580C9" w14:textId="16608C48" w:rsidR="007C783C" w:rsidRPr="007C783C" w:rsidRDefault="00001015" w:rsidP="007C783C">
          <w:pPr>
            <w:jc w:val="center"/>
            <w:rPr>
              <w:b/>
              <w:sz w:val="24"/>
              <w:szCs w:val="24"/>
            </w:rPr>
          </w:pPr>
          <w:r>
            <w:rPr>
              <w:b/>
              <w:sz w:val="24"/>
              <w:szCs w:val="24"/>
              <w:highlight w:val="lightGray"/>
            </w:rPr>
            <w:t>Dragon Swim Team</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6505A000"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Content>
          <w:sdt>
            <w:sdtPr>
              <w:rPr>
                <w:b/>
                <w:sz w:val="24"/>
                <w:szCs w:val="24"/>
                <w:highlight w:val="lightGray"/>
              </w:rPr>
              <w:id w:val="-650989281"/>
              <w:placeholder>
                <w:docPart w:val="45B99C8BC1164A7F969A33C0E48AB73D"/>
              </w:placeholder>
            </w:sdtPr>
            <w:sdtContent>
              <w:r w:rsidR="00001015">
                <w:rPr>
                  <w:bCs/>
                  <w:szCs w:val="20"/>
                  <w:highlight w:val="lightGray"/>
                </w:rPr>
                <w:t>Dragon Swim Team</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2814EE8D"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Content>
          <w:r w:rsidR="00001015">
            <w:rPr>
              <w:bCs/>
              <w:szCs w:val="20"/>
              <w:highlight w:val="lightGray"/>
            </w:rPr>
            <w:t>Dragon Swim Team</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Content>
        <w:p w14:paraId="2A475B22" w14:textId="0D76E6C0" w:rsidR="00FB7E40" w:rsidRDefault="00FB7E40" w:rsidP="00FB7E40">
          <w:pPr>
            <w:ind w:left="720"/>
            <w:jc w:val="both"/>
          </w:pPr>
          <w:r w:rsidRPr="00FB7E40">
            <w:rPr>
              <w:highlight w:val="lightGray"/>
            </w:rPr>
            <w:t>[Recommended]</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000000"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4C48037" w:rsidR="008E48FD" w:rsidRPr="008E48FD" w:rsidRDefault="00000000" w:rsidP="008E48FD">
      <w:pPr>
        <w:pStyle w:val="ListParagraph"/>
        <w:numPr>
          <w:ilvl w:val="1"/>
          <w:numId w:val="3"/>
        </w:numPr>
        <w:ind w:left="1080"/>
      </w:pPr>
      <w:sdt>
        <w:sdtPr>
          <w:id w:val="-1749408158"/>
          <w:placeholder>
            <w:docPart w:val="10A6B01C270D4A41B08E0B12B699A059"/>
          </w:placeholder>
        </w:sdt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in the course of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E2BC" w14:textId="77777777" w:rsidR="00226534" w:rsidRDefault="00226534" w:rsidP="0075197C">
      <w:r>
        <w:separator/>
      </w:r>
    </w:p>
  </w:endnote>
  <w:endnote w:type="continuationSeparator" w:id="0">
    <w:p w14:paraId="1130BBB7" w14:textId="77777777" w:rsidR="00226534" w:rsidRDefault="00226534"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135EF" w14:textId="77777777" w:rsidR="00226534" w:rsidRDefault="00226534" w:rsidP="0075197C">
      <w:r>
        <w:separator/>
      </w:r>
    </w:p>
  </w:footnote>
  <w:footnote w:type="continuationSeparator" w:id="0">
    <w:p w14:paraId="090EEDDA" w14:textId="77777777" w:rsidR="00226534" w:rsidRDefault="00226534"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715494">
    <w:abstractNumId w:val="25"/>
  </w:num>
  <w:num w:numId="2" w16cid:durableId="407769025">
    <w:abstractNumId w:val="19"/>
  </w:num>
  <w:num w:numId="3" w16cid:durableId="231700536">
    <w:abstractNumId w:val="1"/>
  </w:num>
  <w:num w:numId="4" w16cid:durableId="440496233">
    <w:abstractNumId w:val="16"/>
  </w:num>
  <w:num w:numId="5" w16cid:durableId="2067560410">
    <w:abstractNumId w:val="2"/>
  </w:num>
  <w:num w:numId="6" w16cid:durableId="2069526929">
    <w:abstractNumId w:val="11"/>
  </w:num>
  <w:num w:numId="7" w16cid:durableId="1631206622">
    <w:abstractNumId w:val="15"/>
  </w:num>
  <w:num w:numId="8" w16cid:durableId="894394391">
    <w:abstractNumId w:val="6"/>
  </w:num>
  <w:num w:numId="9" w16cid:durableId="1302922831">
    <w:abstractNumId w:val="23"/>
  </w:num>
  <w:num w:numId="10" w16cid:durableId="1203791624">
    <w:abstractNumId w:val="22"/>
  </w:num>
  <w:num w:numId="11" w16cid:durableId="396242912">
    <w:abstractNumId w:val="9"/>
  </w:num>
  <w:num w:numId="12" w16cid:durableId="927467616">
    <w:abstractNumId w:val="10"/>
  </w:num>
  <w:num w:numId="13" w16cid:durableId="2017268915">
    <w:abstractNumId w:val="14"/>
  </w:num>
  <w:num w:numId="14" w16cid:durableId="1902209827">
    <w:abstractNumId w:val="24"/>
  </w:num>
  <w:num w:numId="15" w16cid:durableId="359526">
    <w:abstractNumId w:val="4"/>
  </w:num>
  <w:num w:numId="16" w16cid:durableId="1786925254">
    <w:abstractNumId w:val="5"/>
  </w:num>
  <w:num w:numId="17" w16cid:durableId="779766664">
    <w:abstractNumId w:val="0"/>
  </w:num>
  <w:num w:numId="18" w16cid:durableId="1026105394">
    <w:abstractNumId w:val="18"/>
  </w:num>
  <w:num w:numId="19" w16cid:durableId="1364289910">
    <w:abstractNumId w:val="8"/>
  </w:num>
  <w:num w:numId="20" w16cid:durableId="833841011">
    <w:abstractNumId w:val="7"/>
  </w:num>
  <w:num w:numId="21" w16cid:durableId="86410007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39710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54387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1824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737625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8720666">
    <w:abstractNumId w:val="21"/>
  </w:num>
  <w:num w:numId="27" w16cid:durableId="1515415567">
    <w:abstractNumId w:val="27"/>
  </w:num>
  <w:num w:numId="28" w16cid:durableId="187063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01015"/>
    <w:rsid w:val="0004335B"/>
    <w:rsid w:val="00065504"/>
    <w:rsid w:val="0006677C"/>
    <w:rsid w:val="0007231D"/>
    <w:rsid w:val="000868FE"/>
    <w:rsid w:val="000C4B1A"/>
    <w:rsid w:val="000E1A3E"/>
    <w:rsid w:val="000F3313"/>
    <w:rsid w:val="00106DD4"/>
    <w:rsid w:val="00155D31"/>
    <w:rsid w:val="00165460"/>
    <w:rsid w:val="00193948"/>
    <w:rsid w:val="001B05A0"/>
    <w:rsid w:val="001D2FE3"/>
    <w:rsid w:val="001D4618"/>
    <w:rsid w:val="001F540C"/>
    <w:rsid w:val="00207E93"/>
    <w:rsid w:val="0021449E"/>
    <w:rsid w:val="00226053"/>
    <w:rsid w:val="00226534"/>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0C4B1A"/>
    <w:rsid w:val="00364A26"/>
    <w:rsid w:val="006F0406"/>
    <w:rsid w:val="008A5830"/>
    <w:rsid w:val="00F0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Dragon Swim</cp:lastModifiedBy>
  <cp:revision>13</cp:revision>
  <cp:lastPrinted>2019-04-26T19:19:00Z</cp:lastPrinted>
  <dcterms:created xsi:type="dcterms:W3CDTF">2021-05-26T15:27:00Z</dcterms:created>
  <dcterms:modified xsi:type="dcterms:W3CDTF">2024-05-27T14:33:00Z</dcterms:modified>
</cp:coreProperties>
</file>